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58C3" w14:textId="699EE283" w:rsidR="0061157D" w:rsidRPr="00796DDD" w:rsidRDefault="0014493A" w:rsidP="00796DDD">
      <w:pPr>
        <w:jc w:val="center"/>
      </w:pPr>
      <w:r w:rsidRPr="00350075">
        <w:rPr>
          <w:noProof/>
        </w:rPr>
        <w:drawing>
          <wp:inline distT="0" distB="0" distL="0" distR="0" wp14:anchorId="1675201E" wp14:editId="3843BA18">
            <wp:extent cx="1485900" cy="561975"/>
            <wp:effectExtent l="0" t="0" r="0" b="9525"/>
            <wp:docPr id="171191298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91298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75D">
        <w:rPr>
          <w:noProof/>
        </w:rPr>
        <w:drawing>
          <wp:inline distT="0" distB="0" distL="0" distR="0" wp14:anchorId="7341E911" wp14:editId="784A00FC">
            <wp:extent cx="1622004" cy="466090"/>
            <wp:effectExtent l="0" t="0" r="0" b="0"/>
            <wp:docPr id="136145472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45472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22004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075">
        <w:t xml:space="preserve">                                                               </w:t>
      </w:r>
      <w:r w:rsidR="00C00B0D" w:rsidRPr="00705B19">
        <w:rPr>
          <w:rFonts w:ascii="Arial" w:eastAsiaTheme="minorHAnsi" w:hAnsi="Arial" w:cs="Arial"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6CDCDC3" wp14:editId="4A14CB2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77440" cy="282575"/>
                <wp:effectExtent l="0" t="0" r="22860" b="22225"/>
                <wp:wrapTight wrapText="bothSides">
                  <wp:wrapPolygon edited="0">
                    <wp:start x="0" y="0"/>
                    <wp:lineTo x="0" y="21600"/>
                    <wp:lineTo x="21540" y="21600"/>
                    <wp:lineTo x="21540" y="0"/>
                    <wp:lineTo x="0" y="0"/>
                  </wp:wrapPolygon>
                </wp:wrapTight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D30" w14:textId="3F38E2E7" w:rsidR="00C00B0D" w:rsidRPr="003B7F3E" w:rsidRDefault="00C00B0D" w:rsidP="00C00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Prescribing Tip For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DC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0;width:187.2pt;height:22.25pt;z-index:-25165824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" fillcolor="#8eaadb [1940]" strokecolor="#1f3763 [1604]" strokeweight="1.25pt">
                <v:textbox>
                  <w:txbxContent>
                    <w:p w14:paraId="2D4D1D30" w14:textId="3F38E2E7" w:rsidR="00C00B0D" w:rsidRPr="003B7F3E" w:rsidRDefault="00C00B0D" w:rsidP="00C00B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Prescribing Tip </w:t>
                      </w:r>
                      <w:proofErr w:type="gramStart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119FC" w:rsidRPr="00B62A21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 xml:space="preserve">Introduction to </w:t>
      </w:r>
      <w:r w:rsidR="000E4D4C" w:rsidRPr="00B62A21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u w:val="single"/>
          <w:lang w:eastAsia="en-US"/>
        </w:rPr>
        <w:t>resources to support GP practices to prepare for a regulatory inspection</w:t>
      </w:r>
    </w:p>
    <w:p w14:paraId="22EE5A3A" w14:textId="502D0E42" w:rsidR="00BE3BFD" w:rsidRDefault="004475F6" w:rsidP="003D63C8">
      <w:pPr>
        <w:spacing w:after="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hyperlink r:id="rId13" w:history="1">
        <w:r w:rsidR="000D19DA" w:rsidRPr="000D19DA">
          <w:rPr>
            <w:rStyle w:val="Hyperlink"/>
            <w:rFonts w:ascii="Arial" w:eastAsiaTheme="minorEastAsia" w:hAnsi="Arial" w:cs="Arial"/>
            <w:sz w:val="20"/>
            <w:szCs w:val="20"/>
            <w:lang w:eastAsia="en-US"/>
          </w:rPr>
          <w:t>PrescQIPP</w:t>
        </w:r>
      </w:hyperlink>
      <w:r w:rsidR="000D19DA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BE3BFD" w:rsidRPr="00BE3BFD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have developed</w:t>
      </w:r>
      <w:r w:rsidR="00BE3BFD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resources to </w:t>
      </w:r>
      <w:r w:rsidR="008771E5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support GP practices in preparing for a regulatory inspection includ</w:t>
      </w:r>
      <w:r w:rsidR="00E33A86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ing</w:t>
      </w:r>
      <w:r w:rsidR="008771E5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a bulletin, briefing, template medicines policy, presentation for CQC, welcome pack </w:t>
      </w:r>
      <w:r w:rsidR="005006F1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for CQC inspectors, a checklist</w:t>
      </w:r>
      <w:r w:rsidR="00B30721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for preparing for an inspection</w:t>
      </w:r>
      <w:r w:rsidR="005006F1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and a summary of the CQC </w:t>
      </w:r>
      <w:r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myth busters</w:t>
      </w:r>
      <w:r w:rsidR="005006F1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. The M</w:t>
      </w:r>
      <w:r w:rsidR="003D63C8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edicine’s </w:t>
      </w:r>
      <w:r w:rsidR="005006F1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O</w:t>
      </w:r>
      <w:r w:rsidR="003D63C8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ptimisation team</w:t>
      </w:r>
      <w:r w:rsidR="005006F1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plan to write a series of prescribing tips to cover some of the key areas looked at during a CQC inspection with the aim of supporting practices to ensure their processes are in line with CQC guidance</w:t>
      </w:r>
      <w:r w:rsidR="00E33A86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.</w:t>
      </w:r>
      <w:r w:rsidR="0085693D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BF75DE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Any </w:t>
      </w:r>
      <w:r w:rsidR="003C1EE6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practice employed or PCN staff</w:t>
      </w:r>
      <w:r w:rsidR="003D63C8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member </w:t>
      </w:r>
      <w:r w:rsidR="00BF75DE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can register </w:t>
      </w:r>
      <w:r w:rsidR="003F3C03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with PrescQIPP for free.</w:t>
      </w:r>
      <w:r w:rsidR="007B4B22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When registering you should ensure you select </w:t>
      </w:r>
      <w:r w:rsidR="007A1AFD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ICS Lancashire and </w:t>
      </w:r>
      <w:r w:rsidR="008C732D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South Cumbria</w:t>
      </w:r>
      <w:r w:rsidR="007B4B22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as </w:t>
      </w:r>
      <w:r w:rsidR="00DF10F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your organisation.</w:t>
      </w:r>
    </w:p>
    <w:p w14:paraId="05A46C04" w14:textId="77777777" w:rsidR="00B4107C" w:rsidRDefault="00B4107C" w:rsidP="00B4107C">
      <w:pPr>
        <w:spacing w:after="0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</w:p>
    <w:p w14:paraId="4FCD6BF7" w14:textId="50C7D268" w:rsidR="007041FA" w:rsidRDefault="00D61BA9" w:rsidP="003D63C8">
      <w:pPr>
        <w:spacing w:after="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7753DB">
        <w:rPr>
          <w:rFonts w:ascii="Arial" w:eastAsiaTheme="minorEastAsia" w:hAnsi="Arial" w:cs="Arial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04E8CC" wp14:editId="0F9FC98D">
                <wp:simplePos x="0" y="0"/>
                <wp:positionH relativeFrom="column">
                  <wp:posOffset>-457200</wp:posOffset>
                </wp:positionH>
                <wp:positionV relativeFrom="paragraph">
                  <wp:posOffset>651510</wp:posOffset>
                </wp:positionV>
                <wp:extent cx="7134225" cy="22479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3FB60" w14:textId="5F534468" w:rsidR="00D5629E" w:rsidRPr="005D5A54" w:rsidRDefault="00D5629E" w:rsidP="00D5629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072F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5D5A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. How are medicines and medicines-related stationery managed (that is, ordered, transported, stored and disposed of safely and securely)? This includes medical gases and emergency medicines and equipment.</w:t>
                            </w:r>
                          </w:p>
                          <w:p w14:paraId="5E3B17DD" w14:textId="5B69516E" w:rsidR="00D5629E" w:rsidRPr="005D5A54" w:rsidRDefault="00D5629E" w:rsidP="00D5629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5A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 Are medicines appropriately prescribed, administered and/or supplied to people in line with the relevant legislation, current </w:t>
                            </w:r>
                            <w:r w:rsidR="00D61BA9" w:rsidRPr="005D5A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5D5A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ational guidance or best available evidence?</w:t>
                            </w:r>
                          </w:p>
                          <w:p w14:paraId="1750121F" w14:textId="209DF604" w:rsidR="00D5629E" w:rsidRPr="005D5A54" w:rsidRDefault="00D5629E" w:rsidP="00D5629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5A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3. Do people receive specific advice about their medicines in line with current national guidance or evidence?</w:t>
                            </w:r>
                          </w:p>
                          <w:p w14:paraId="5E7469E6" w14:textId="164B2C14" w:rsidR="00D5629E" w:rsidRPr="005D5A54" w:rsidRDefault="00D5629E" w:rsidP="00D5629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5A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4. How does the service make sure that people receive their medicines as intended, and is this recorded appropriately?</w:t>
                            </w:r>
                          </w:p>
                          <w:p w14:paraId="7354D153" w14:textId="142AA6A6" w:rsidR="00D5629E" w:rsidRPr="005D5A54" w:rsidRDefault="00D5629E" w:rsidP="00D5629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5A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5. Are people’s medicines reconciled in line with current national guidance when transferring between locations or changing levels of care?</w:t>
                            </w:r>
                          </w:p>
                          <w:p w14:paraId="559AF545" w14:textId="699C48D5" w:rsidR="00D5629E" w:rsidRPr="005D5A54" w:rsidRDefault="00D5629E" w:rsidP="00D5629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5A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6. Are people receiving appropriate therapeutic drug and physical health monitoring with appropriate follow-up in accordance with current national guidance or evidence?</w:t>
                            </w:r>
                          </w:p>
                          <w:p w14:paraId="34C034FA" w14:textId="77777777" w:rsidR="00D5629E" w:rsidRPr="005D5A54" w:rsidRDefault="00D5629E" w:rsidP="00D5629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5A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7. Are people’s medicines regularly reviewed including the use of ‘when required’ medicines?</w:t>
                            </w:r>
                          </w:p>
                          <w:p w14:paraId="532DFA3B" w14:textId="415F4668" w:rsidR="00D5629E" w:rsidRPr="000072F3" w:rsidRDefault="00D5629E" w:rsidP="00D5629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5A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8. How does the service make sure that people’s behaviour is not controlled by excessive or inappropriate use of medicines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E8CC" id="_x0000_s1027" type="#_x0000_t202" alt="&quot;&quot;" style="position:absolute;left:0;text-align:left;margin-left:-36pt;margin-top:51.3pt;width:561.75pt;height:17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" fillcolor="#b4c6e7 [1300]">
                <v:textbox>
                  <w:txbxContent>
                    <w:p w14:paraId="0473FB60" w14:textId="5F534468" w:rsidR="00D5629E" w:rsidRPr="005D5A54" w:rsidRDefault="00D5629E" w:rsidP="00D5629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0072F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. How are medicines and medicines-related stationery managed (that is, ordered, transported, </w:t>
                      </w:r>
                      <w:proofErr w:type="gramStart"/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stored</w:t>
                      </w:r>
                      <w:proofErr w:type="gramEnd"/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and disposed of safely and securely)? This includes medical gases and emergency medicines and equipment.</w:t>
                      </w:r>
                    </w:p>
                    <w:p w14:paraId="5E3B17DD" w14:textId="5B69516E" w:rsidR="00D5629E" w:rsidRPr="005D5A54" w:rsidRDefault="00D5629E" w:rsidP="00D5629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2. Are medicines appropriately prescribed, administered and/or supplied to people in line with the relevant legislation, current </w:t>
                      </w:r>
                      <w:r w:rsidR="00D61BA9"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ational </w:t>
                      </w:r>
                      <w:proofErr w:type="gramStart"/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guidance</w:t>
                      </w:r>
                      <w:proofErr w:type="gramEnd"/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or best available evidence?</w:t>
                      </w:r>
                    </w:p>
                    <w:p w14:paraId="1750121F" w14:textId="209DF604" w:rsidR="00D5629E" w:rsidRPr="005D5A54" w:rsidRDefault="00D5629E" w:rsidP="00D5629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3. Do people receive specific advice about their medicines in line with current national guidance or evidence?</w:t>
                      </w:r>
                    </w:p>
                    <w:p w14:paraId="5E7469E6" w14:textId="164B2C14" w:rsidR="00D5629E" w:rsidRPr="005D5A54" w:rsidRDefault="00D5629E" w:rsidP="00D5629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4. How does the service make sure that people receive their medicines as intended, and is this recorded appropriately?</w:t>
                      </w:r>
                    </w:p>
                    <w:p w14:paraId="7354D153" w14:textId="142AA6A6" w:rsidR="00D5629E" w:rsidRPr="005D5A54" w:rsidRDefault="00D5629E" w:rsidP="00D5629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5. Are people’s medicines reconciled in line with current national guidance when transferring between locations or changing levels of care?</w:t>
                      </w:r>
                    </w:p>
                    <w:p w14:paraId="559AF545" w14:textId="699C48D5" w:rsidR="00D5629E" w:rsidRPr="005D5A54" w:rsidRDefault="00D5629E" w:rsidP="00D5629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6. Are people receiving appropriate therapeutic drug and physical health monitoring with appropriate follow-up in accordance with current national guidance or evidence?</w:t>
                      </w:r>
                    </w:p>
                    <w:p w14:paraId="34C034FA" w14:textId="77777777" w:rsidR="00D5629E" w:rsidRPr="005D5A54" w:rsidRDefault="00D5629E" w:rsidP="00D5629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7. Are people’s medicines regularly reviewed including the use of ‘when required’ medicines?</w:t>
                      </w:r>
                    </w:p>
                    <w:p w14:paraId="532DFA3B" w14:textId="415F4668" w:rsidR="00D5629E" w:rsidRPr="000072F3" w:rsidRDefault="00D5629E" w:rsidP="00D5629E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5D5A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8. How does the service make sure that people’s behaviour is not controlled by excessive or inappropriate use of medicines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69E3" w:rsidRPr="007753DB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In terms of medicines management, the inspection team aims to determine how the provider ensures the proper and safe use of medicines, where the service is responsible.</w:t>
      </w:r>
      <w:r w:rsidR="00D5629E" w:rsidRPr="007753DB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C769E3" w:rsidRPr="007753DB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There are eight questions that need to be answered in order to assess this:</w:t>
      </w:r>
    </w:p>
    <w:p w14:paraId="2530CF42" w14:textId="2B860DB0" w:rsidR="00942A80" w:rsidRDefault="00942A80" w:rsidP="00942A80">
      <w:pPr>
        <w:spacing w:after="0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</w:p>
    <w:p w14:paraId="6EF5CE00" w14:textId="19D54124" w:rsidR="00BC047D" w:rsidRPr="00AB1ACB" w:rsidRDefault="00476825" w:rsidP="003D63C8">
      <w:pPr>
        <w:spacing w:after="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AB1ACB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Steps practices can take:</w:t>
      </w:r>
    </w:p>
    <w:p w14:paraId="75E0C24C" w14:textId="7CF7DEA9" w:rsidR="00476825" w:rsidRPr="00AB1ACB" w:rsidRDefault="00476825" w:rsidP="003D63C8">
      <w:pPr>
        <w:pStyle w:val="ListParagraph"/>
        <w:numPr>
          <w:ilvl w:val="0"/>
          <w:numId w:val="7"/>
        </w:numPr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AB1ACB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Periodic running of the CQC clinical searches (these are freely available to all) </w:t>
      </w:r>
    </w:p>
    <w:p w14:paraId="02B23B80" w14:textId="5DC548EC" w:rsidR="00B17CBC" w:rsidRPr="00BF162F" w:rsidRDefault="008619CC" w:rsidP="003D63C8">
      <w:pPr>
        <w:pStyle w:val="ListParagraph"/>
        <w:numPr>
          <w:ilvl w:val="0"/>
          <w:numId w:val="7"/>
        </w:numPr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BF162F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Development or review of a medicines policy to cover prescribing</w:t>
      </w:r>
      <w:r w:rsidR="00F26DDA" w:rsidRPr="00BF162F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including high-risk drugs, controlled drugs and repeat dispensing. There is a template medicines policy available from Presc</w:t>
      </w:r>
      <w:r w:rsidR="005C419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QIP</w:t>
      </w:r>
      <w:r w:rsidR="00680D67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P</w:t>
      </w:r>
    </w:p>
    <w:p w14:paraId="39FC0DEA" w14:textId="14DF0FE9" w:rsidR="00F26DDA" w:rsidRPr="0021262C" w:rsidRDefault="00113522" w:rsidP="003D63C8">
      <w:pPr>
        <w:pStyle w:val="ListParagraph"/>
        <w:numPr>
          <w:ilvl w:val="0"/>
          <w:numId w:val="7"/>
        </w:numPr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21262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Utilise t</w:t>
      </w:r>
      <w:r w:rsidR="00CF39DC" w:rsidRPr="0021262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he </w:t>
      </w:r>
      <w:hyperlink r:id="rId14" w:history="1">
        <w:r w:rsidR="00CF39DC" w:rsidRPr="0021262C">
          <w:rPr>
            <w:rStyle w:val="Hyperlink"/>
            <w:rFonts w:ascii="Arial" w:eastAsiaTheme="minorEastAsia" w:hAnsi="Arial" w:cs="Arial"/>
            <w:sz w:val="20"/>
            <w:szCs w:val="20"/>
            <w:lang w:eastAsia="en-US"/>
          </w:rPr>
          <w:t xml:space="preserve">CQC </w:t>
        </w:r>
        <w:r w:rsidR="0065459A" w:rsidRPr="0021262C">
          <w:rPr>
            <w:rStyle w:val="Hyperlink"/>
            <w:rFonts w:ascii="Arial" w:eastAsiaTheme="minorEastAsia" w:hAnsi="Arial" w:cs="Arial"/>
            <w:sz w:val="20"/>
            <w:szCs w:val="20"/>
            <w:lang w:eastAsia="en-US"/>
          </w:rPr>
          <w:t xml:space="preserve">GP </w:t>
        </w:r>
        <w:proofErr w:type="spellStart"/>
        <w:r w:rsidR="0065459A" w:rsidRPr="0021262C">
          <w:rPr>
            <w:rStyle w:val="Hyperlink"/>
            <w:rFonts w:ascii="Arial" w:eastAsiaTheme="minorEastAsia" w:hAnsi="Arial" w:cs="Arial"/>
            <w:sz w:val="20"/>
            <w:szCs w:val="20"/>
            <w:lang w:eastAsia="en-US"/>
          </w:rPr>
          <w:t>Mythbusters</w:t>
        </w:r>
        <w:proofErr w:type="spellEnd"/>
      </w:hyperlink>
      <w:r w:rsidRPr="0021262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to assist with understanding what i</w:t>
      </w:r>
      <w:r w:rsidR="00E21141" w:rsidRPr="0021262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s </w:t>
      </w:r>
      <w:r w:rsidRPr="0021262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looked at during a</w:t>
      </w:r>
      <w:r w:rsidR="002B1693" w:rsidRPr="0021262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n</w:t>
      </w:r>
      <w:r w:rsidRPr="0021262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inspection</w:t>
      </w:r>
    </w:p>
    <w:p w14:paraId="2FF26C45" w14:textId="3EAC12D6" w:rsidR="00BB697A" w:rsidRPr="004B6C7C" w:rsidRDefault="00BB697A" w:rsidP="003D63C8">
      <w:pPr>
        <w:pStyle w:val="ListParagraph"/>
        <w:numPr>
          <w:ilvl w:val="0"/>
          <w:numId w:val="7"/>
        </w:numPr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4B6C7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Consider signing up to receive </w:t>
      </w:r>
      <w:hyperlink r:id="rId15" w:history="1">
        <w:r w:rsidRPr="00BF162F">
          <w:rPr>
            <w:rStyle w:val="Hyperlink"/>
            <w:rFonts w:ascii="Arial" w:eastAsiaTheme="minorEastAsia" w:hAnsi="Arial" w:cs="Arial"/>
            <w:sz w:val="20"/>
            <w:szCs w:val="20"/>
            <w:lang w:eastAsia="en-US"/>
          </w:rPr>
          <w:t>CQC email newsletters</w:t>
        </w:r>
      </w:hyperlink>
      <w:r w:rsidRPr="004B6C7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6E4506C1" w14:textId="5832502E" w:rsidR="006A3B24" w:rsidRPr="00BF162F" w:rsidRDefault="006A3B24" w:rsidP="006A3B24">
      <w:pPr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BF162F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Other available resources:</w:t>
      </w:r>
    </w:p>
    <w:p w14:paraId="2A873B15" w14:textId="208D7134" w:rsidR="0040591B" w:rsidRPr="007966D8" w:rsidRDefault="0040591B" w:rsidP="003D63C8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7966D8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The British Medical Association has produced guidance entitled ‘</w:t>
      </w:r>
      <w:hyperlink r:id="rId16" w:history="1">
        <w:r w:rsidRPr="007966D8">
          <w:rPr>
            <w:rStyle w:val="Hyperlink"/>
            <w:rFonts w:ascii="Arial" w:eastAsiaTheme="minorEastAsia" w:hAnsi="Arial" w:cs="Arial"/>
            <w:sz w:val="20"/>
            <w:szCs w:val="20"/>
            <w:lang w:eastAsia="en-US"/>
          </w:rPr>
          <w:t>How to prepare for a CQC inspection’</w:t>
        </w:r>
      </w:hyperlink>
      <w:r w:rsidRPr="007966D8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. This is a practical guide for GP practices preparing for their inspection </w:t>
      </w:r>
    </w:p>
    <w:p w14:paraId="0EB8AC73" w14:textId="6A10DE69" w:rsidR="0040591B" w:rsidRPr="002E04DC" w:rsidRDefault="00576C72" w:rsidP="003D63C8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022FE7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NHS South West London has also produced a document </w:t>
      </w:r>
      <w:r w:rsidR="008A2329" w:rsidRPr="002E04DC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– </w:t>
      </w:r>
      <w:hyperlink r:id="rId17" w:history="1">
        <w:r w:rsidR="008A2329" w:rsidRPr="002E04DC">
          <w:rPr>
            <w:rStyle w:val="Hyperlink"/>
            <w:rFonts w:ascii="Arial" w:eastAsiaTheme="minorEastAsia" w:hAnsi="Arial" w:cs="Arial"/>
            <w:sz w:val="20"/>
            <w:szCs w:val="20"/>
            <w:lang w:eastAsia="en-US"/>
          </w:rPr>
          <w:t>CQC Inspections and Medicines Guidance for Primary Care</w:t>
        </w:r>
      </w:hyperlink>
    </w:p>
    <w:p w14:paraId="768E0454" w14:textId="1DE44BE5" w:rsidR="004F52DD" w:rsidRDefault="000E4D4C" w:rsidP="003D63C8">
      <w:pPr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With thanks to Presc</w:t>
      </w:r>
      <w:r w:rsidR="00796DDD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QIPP</w:t>
      </w:r>
      <w:r w:rsidR="00BE3BFD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.</w:t>
      </w:r>
      <w:r w:rsidR="00350075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 xml:space="preserve"> </w:t>
      </w:r>
      <w:r w:rsidR="00C00B0D" w:rsidRPr="5CA15469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To contact the Medicines Optimisation Team please phone 01772 2143</w:t>
      </w:r>
      <w:r w:rsidR="0030164A" w:rsidRPr="5CA15469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02</w:t>
      </w:r>
    </w:p>
    <w:p w14:paraId="6EBB856E" w14:textId="77777777" w:rsidR="003D63C8" w:rsidRDefault="00C00B0D" w:rsidP="00796DDD">
      <w:pPr>
        <w:jc w:val="center"/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920334">
        <w:rPr>
          <w:rFonts w:asciiTheme="minorHAnsi" w:eastAsiaTheme="minorHAnsi" w:hAnsiTheme="minorHAnsi" w:cstheme="minorHAnsi"/>
          <w:b/>
          <w:color w:val="000000" w:themeColor="text1"/>
          <w:sz w:val="16"/>
          <w:szCs w:val="16"/>
          <w:lang w:eastAsia="en-US"/>
        </w:rPr>
        <w:t xml:space="preserve">If you have any suggestions for future topics to cover in our prescribing tips please contact </w:t>
      </w:r>
      <w:hyperlink r:id="rId18" w:history="1">
        <w:r w:rsidR="00F570BF" w:rsidRPr="00883A93">
          <w:rPr>
            <w:rStyle w:val="Hyperlink"/>
            <w:rFonts w:asciiTheme="minorHAnsi" w:eastAsiaTheme="minorHAnsi" w:hAnsiTheme="minorHAnsi" w:cstheme="minorHAnsi"/>
            <w:b/>
            <w:sz w:val="16"/>
            <w:szCs w:val="16"/>
            <w:lang w:eastAsia="en-US"/>
          </w:rPr>
          <w:t>Nicola.schaffel@nhs.net</w:t>
        </w:r>
      </w:hyperlink>
      <w:r w:rsidR="00350075"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AB1ACB"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  <w:t xml:space="preserve">. </w:t>
      </w:r>
    </w:p>
    <w:p w14:paraId="5BB8BE4D" w14:textId="5A40459D" w:rsidR="00350075" w:rsidRPr="008A10D4" w:rsidRDefault="006B59AD" w:rsidP="00796DDD">
      <w:pPr>
        <w:jc w:val="center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8A10D4">
        <w:rPr>
          <w:rStyle w:val="Hyperlink"/>
          <w:rFonts w:asciiTheme="minorHAnsi" w:eastAsiaTheme="minorHAnsi" w:hAnsiTheme="minorHAnsi" w:cstheme="minorHAnsi"/>
          <w:b/>
          <w:color w:val="auto"/>
          <w:sz w:val="16"/>
          <w:szCs w:val="16"/>
          <w:u w:val="none"/>
          <w:lang w:eastAsia="en-US"/>
        </w:rPr>
        <w:t xml:space="preserve">All content accurate and </w:t>
      </w:r>
      <w:r w:rsidR="00350075">
        <w:rPr>
          <w:rStyle w:val="Hyperlink"/>
          <w:rFonts w:asciiTheme="minorHAnsi" w:eastAsiaTheme="minorHAnsi" w:hAnsiTheme="minorHAnsi" w:cstheme="minorHAnsi"/>
          <w:b/>
          <w:color w:val="auto"/>
          <w:sz w:val="16"/>
          <w:szCs w:val="16"/>
          <w:u w:val="none"/>
          <w:lang w:eastAsia="en-US"/>
        </w:rPr>
        <w:t>c</w:t>
      </w:r>
      <w:r w:rsidRPr="008A10D4">
        <w:rPr>
          <w:rStyle w:val="Hyperlink"/>
          <w:rFonts w:asciiTheme="minorHAnsi" w:eastAsiaTheme="minorHAnsi" w:hAnsiTheme="minorHAnsi" w:cstheme="minorHAnsi"/>
          <w:b/>
          <w:color w:val="auto"/>
          <w:sz w:val="16"/>
          <w:szCs w:val="16"/>
          <w:u w:val="none"/>
          <w:lang w:eastAsia="en-US"/>
        </w:rPr>
        <w:t>orrect on the date of issue of this tip.</w:t>
      </w:r>
      <w:r w:rsidR="00BE1AA4" w:rsidRPr="00BE1AA4">
        <w:t xml:space="preserve"> </w:t>
      </w:r>
    </w:p>
    <w:sectPr w:rsidR="00350075" w:rsidRPr="008A10D4" w:rsidSect="006039C8">
      <w:headerReference w:type="default" r:id="rId19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4CA9" w14:textId="77777777" w:rsidR="006039C8" w:rsidRDefault="006039C8">
      <w:pPr>
        <w:spacing w:after="0" w:line="240" w:lineRule="auto"/>
      </w:pPr>
      <w:r>
        <w:separator/>
      </w:r>
    </w:p>
  </w:endnote>
  <w:endnote w:type="continuationSeparator" w:id="0">
    <w:p w14:paraId="05F40018" w14:textId="77777777" w:rsidR="006039C8" w:rsidRDefault="006039C8">
      <w:pPr>
        <w:spacing w:after="0" w:line="240" w:lineRule="auto"/>
      </w:pPr>
      <w:r>
        <w:continuationSeparator/>
      </w:r>
    </w:p>
  </w:endnote>
  <w:endnote w:type="continuationNotice" w:id="1">
    <w:p w14:paraId="2EA1EBE5" w14:textId="77777777" w:rsidR="006039C8" w:rsidRDefault="00603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43A4" w14:textId="77777777" w:rsidR="006039C8" w:rsidRDefault="006039C8">
      <w:pPr>
        <w:spacing w:after="0" w:line="240" w:lineRule="auto"/>
      </w:pPr>
      <w:r>
        <w:separator/>
      </w:r>
    </w:p>
  </w:footnote>
  <w:footnote w:type="continuationSeparator" w:id="0">
    <w:p w14:paraId="709D62C7" w14:textId="77777777" w:rsidR="006039C8" w:rsidRDefault="006039C8">
      <w:pPr>
        <w:spacing w:after="0" w:line="240" w:lineRule="auto"/>
      </w:pPr>
      <w:r>
        <w:continuationSeparator/>
      </w:r>
    </w:p>
  </w:footnote>
  <w:footnote w:type="continuationNotice" w:id="1">
    <w:p w14:paraId="0BB864A6" w14:textId="77777777" w:rsidR="006039C8" w:rsidRDefault="006039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1EA83F13" w:rsidR="00305C95" w:rsidRPr="0042428A" w:rsidRDefault="00C001C1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0F48AB" wp14:editId="1946F906">
          <wp:simplePos x="0" y="0"/>
          <wp:positionH relativeFrom="column">
            <wp:posOffset>4918884</wp:posOffset>
          </wp:positionH>
          <wp:positionV relativeFrom="paragraph">
            <wp:posOffset>-61065</wp:posOffset>
          </wp:positionV>
          <wp:extent cx="1432140" cy="619125"/>
          <wp:effectExtent l="0" t="0" r="0" b="0"/>
          <wp:wrapNone/>
          <wp:docPr id="1177712915" name="Picture 11777129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712915" name="Picture 11777129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1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52CC0789">
          <wp:simplePos x="0" y="0"/>
          <wp:positionH relativeFrom="column">
            <wp:posOffset>3268701</wp:posOffset>
          </wp:positionH>
          <wp:positionV relativeFrom="paragraph">
            <wp:posOffset>-67466</wp:posOffset>
          </wp:positionV>
          <wp:extent cx="920979" cy="601926"/>
          <wp:effectExtent l="0" t="0" r="0" b="8255"/>
          <wp:wrapNone/>
          <wp:docPr id="1971801383" name="Picture 19718013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1801383" name="Picture 197180138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60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>rescribing tip number:</w:t>
    </w:r>
    <w:r w:rsidR="00B74C65">
      <w:rPr>
        <w:rFonts w:ascii="Arial" w:hAnsi="Arial" w:cs="Arial"/>
        <w:sz w:val="20"/>
        <w:szCs w:val="20"/>
      </w:rPr>
      <w:t xml:space="preserve"> 423</w:t>
    </w:r>
  </w:p>
  <w:p w14:paraId="7CF38347" w14:textId="7A1A4AF3" w:rsidR="00E264AA" w:rsidRPr="0042428A" w:rsidRDefault="00305C95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B74C65">
      <w:rPr>
        <w:rFonts w:ascii="Arial" w:hAnsi="Arial" w:cs="Arial"/>
        <w:sz w:val="20"/>
        <w:szCs w:val="20"/>
      </w:rPr>
      <w:t>11</w:t>
    </w:r>
    <w:r w:rsidR="00B74C65" w:rsidRPr="00B74C65">
      <w:rPr>
        <w:rFonts w:ascii="Arial" w:hAnsi="Arial" w:cs="Arial"/>
        <w:sz w:val="20"/>
        <w:szCs w:val="20"/>
        <w:vertAlign w:val="superscript"/>
      </w:rPr>
      <w:t>th</w:t>
    </w:r>
    <w:r w:rsidR="00B74C65">
      <w:rPr>
        <w:rFonts w:ascii="Arial" w:hAnsi="Arial" w:cs="Arial"/>
        <w:sz w:val="20"/>
        <w:szCs w:val="20"/>
      </w:rPr>
      <w:t xml:space="preserve"> 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C1115"/>
    <w:multiLevelType w:val="hybridMultilevel"/>
    <w:tmpl w:val="2A52F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AA30BA"/>
    <w:multiLevelType w:val="hybridMultilevel"/>
    <w:tmpl w:val="1E3E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F40B6"/>
    <w:multiLevelType w:val="hybridMultilevel"/>
    <w:tmpl w:val="A1BA0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8">
    <w:abstractNumId w:val="8"/>
  </w:num>
  <w:num w:numId="2" w16cid:durableId="1267424891">
    <w:abstractNumId w:val="3"/>
  </w:num>
  <w:num w:numId="3" w16cid:durableId="1391272994">
    <w:abstractNumId w:val="5"/>
  </w:num>
  <w:num w:numId="4" w16cid:durableId="1224831107">
    <w:abstractNumId w:val="7"/>
  </w:num>
  <w:num w:numId="5" w16cid:durableId="48652778">
    <w:abstractNumId w:val="0"/>
  </w:num>
  <w:num w:numId="6" w16cid:durableId="378936557">
    <w:abstractNumId w:val="2"/>
  </w:num>
  <w:num w:numId="7" w16cid:durableId="439492688">
    <w:abstractNumId w:val="6"/>
  </w:num>
  <w:num w:numId="8" w16cid:durableId="954673592">
    <w:abstractNumId w:val="1"/>
  </w:num>
  <w:num w:numId="9" w16cid:durableId="471872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072F3"/>
    <w:rsid w:val="00022FE7"/>
    <w:rsid w:val="00024900"/>
    <w:rsid w:val="000250EB"/>
    <w:rsid w:val="0009011C"/>
    <w:rsid w:val="000B325A"/>
    <w:rsid w:val="000D19DA"/>
    <w:rsid w:val="000E4D4C"/>
    <w:rsid w:val="00113522"/>
    <w:rsid w:val="00121485"/>
    <w:rsid w:val="001432D5"/>
    <w:rsid w:val="0014493A"/>
    <w:rsid w:val="00187120"/>
    <w:rsid w:val="001F65EE"/>
    <w:rsid w:val="0021262C"/>
    <w:rsid w:val="00244F14"/>
    <w:rsid w:val="0024595D"/>
    <w:rsid w:val="002B1693"/>
    <w:rsid w:val="002E04DC"/>
    <w:rsid w:val="002F5C53"/>
    <w:rsid w:val="0030164A"/>
    <w:rsid w:val="00305C95"/>
    <w:rsid w:val="00327F5B"/>
    <w:rsid w:val="00350075"/>
    <w:rsid w:val="00385F84"/>
    <w:rsid w:val="003860BE"/>
    <w:rsid w:val="00395C1C"/>
    <w:rsid w:val="003C1EE6"/>
    <w:rsid w:val="003D2D57"/>
    <w:rsid w:val="003D63C8"/>
    <w:rsid w:val="003F3C03"/>
    <w:rsid w:val="0040591B"/>
    <w:rsid w:val="0042428A"/>
    <w:rsid w:val="004262E9"/>
    <w:rsid w:val="004475F6"/>
    <w:rsid w:val="00476825"/>
    <w:rsid w:val="004935FE"/>
    <w:rsid w:val="00497398"/>
    <w:rsid w:val="004B6C7C"/>
    <w:rsid w:val="004F52DD"/>
    <w:rsid w:val="005006F1"/>
    <w:rsid w:val="005642A0"/>
    <w:rsid w:val="00576C72"/>
    <w:rsid w:val="00585282"/>
    <w:rsid w:val="005971C4"/>
    <w:rsid w:val="005B1FD2"/>
    <w:rsid w:val="005B575D"/>
    <w:rsid w:val="005C419C"/>
    <w:rsid w:val="005D5A54"/>
    <w:rsid w:val="005E4EF4"/>
    <w:rsid w:val="006039C8"/>
    <w:rsid w:val="00607030"/>
    <w:rsid w:val="0061157D"/>
    <w:rsid w:val="00622C26"/>
    <w:rsid w:val="00625F39"/>
    <w:rsid w:val="00637B3D"/>
    <w:rsid w:val="0065459A"/>
    <w:rsid w:val="00680D67"/>
    <w:rsid w:val="00681EB0"/>
    <w:rsid w:val="006A3B24"/>
    <w:rsid w:val="006B59AD"/>
    <w:rsid w:val="006E5481"/>
    <w:rsid w:val="006F2645"/>
    <w:rsid w:val="007041FA"/>
    <w:rsid w:val="00714916"/>
    <w:rsid w:val="007753DB"/>
    <w:rsid w:val="007966D8"/>
    <w:rsid w:val="00796DDD"/>
    <w:rsid w:val="007A1AFD"/>
    <w:rsid w:val="007B4B22"/>
    <w:rsid w:val="0085693D"/>
    <w:rsid w:val="008619CC"/>
    <w:rsid w:val="008771E5"/>
    <w:rsid w:val="008A0AF8"/>
    <w:rsid w:val="008A10D4"/>
    <w:rsid w:val="008A2329"/>
    <w:rsid w:val="008A4C51"/>
    <w:rsid w:val="008A5995"/>
    <w:rsid w:val="008B6EB5"/>
    <w:rsid w:val="008C006F"/>
    <w:rsid w:val="008C732D"/>
    <w:rsid w:val="008D0DFE"/>
    <w:rsid w:val="008F04B5"/>
    <w:rsid w:val="008F20BD"/>
    <w:rsid w:val="00920334"/>
    <w:rsid w:val="00942A80"/>
    <w:rsid w:val="009565B7"/>
    <w:rsid w:val="009D773C"/>
    <w:rsid w:val="009E1725"/>
    <w:rsid w:val="00A02977"/>
    <w:rsid w:val="00A2478D"/>
    <w:rsid w:val="00AB1ACB"/>
    <w:rsid w:val="00AF4895"/>
    <w:rsid w:val="00B119FC"/>
    <w:rsid w:val="00B17CBC"/>
    <w:rsid w:val="00B22354"/>
    <w:rsid w:val="00B30721"/>
    <w:rsid w:val="00B37D2F"/>
    <w:rsid w:val="00B4107C"/>
    <w:rsid w:val="00B62A21"/>
    <w:rsid w:val="00B650AF"/>
    <w:rsid w:val="00B74C65"/>
    <w:rsid w:val="00B76758"/>
    <w:rsid w:val="00BB3C71"/>
    <w:rsid w:val="00BB697A"/>
    <w:rsid w:val="00BC047D"/>
    <w:rsid w:val="00BE1AA4"/>
    <w:rsid w:val="00BE3BFD"/>
    <w:rsid w:val="00BF162F"/>
    <w:rsid w:val="00BF75DE"/>
    <w:rsid w:val="00C001C1"/>
    <w:rsid w:val="00C00B0D"/>
    <w:rsid w:val="00C25C25"/>
    <w:rsid w:val="00C44128"/>
    <w:rsid w:val="00C465E1"/>
    <w:rsid w:val="00C769E3"/>
    <w:rsid w:val="00CC2D24"/>
    <w:rsid w:val="00CF39DC"/>
    <w:rsid w:val="00D04324"/>
    <w:rsid w:val="00D16374"/>
    <w:rsid w:val="00D20CC0"/>
    <w:rsid w:val="00D32C20"/>
    <w:rsid w:val="00D40711"/>
    <w:rsid w:val="00D5629E"/>
    <w:rsid w:val="00D61BA9"/>
    <w:rsid w:val="00D65615"/>
    <w:rsid w:val="00DD6032"/>
    <w:rsid w:val="00DF10FC"/>
    <w:rsid w:val="00E21141"/>
    <w:rsid w:val="00E264AA"/>
    <w:rsid w:val="00E270DF"/>
    <w:rsid w:val="00E3191B"/>
    <w:rsid w:val="00E33A86"/>
    <w:rsid w:val="00E34B61"/>
    <w:rsid w:val="00E42C92"/>
    <w:rsid w:val="00E634F5"/>
    <w:rsid w:val="00EC6F98"/>
    <w:rsid w:val="00EE3E15"/>
    <w:rsid w:val="00EE5EE0"/>
    <w:rsid w:val="00F023EB"/>
    <w:rsid w:val="00F26DDA"/>
    <w:rsid w:val="00F570BF"/>
    <w:rsid w:val="00F57404"/>
    <w:rsid w:val="00F83975"/>
    <w:rsid w:val="00FB0CB5"/>
    <w:rsid w:val="00FB6A86"/>
    <w:rsid w:val="00FD562C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3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scqipp.info/our-resources/bulletins/bulletin-332-preparing-gp-practices-for-a-regulatory-inspection/" TargetMode="External"/><Relationship Id="rId18" Type="http://schemas.openxmlformats.org/officeDocument/2006/relationships/hyperlink" Target="mailto:Nicola.schaffel@nhs.ne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wlimo.southwestlondon.icb.nhs.uk/wp-content/uploads/CQC-Inspections-and-Medicines-Guidance-for-Primary-Care-IMOC-Approve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ma.org.uk/advice-and-support/gp-practices/the-cqc/how-to-prepare-for-a-cqc-inspec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qc.org.uk/news/newsletters-alerts/email-newsletters-cqc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qc.org.uk/guidance-providers/gps/gp-mythbust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6" ma:contentTypeDescription="Create a new document." ma:contentTypeScope="" ma:versionID="453753b233a39679ebf5750529005a05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de56d48eee1e222e66bc667b538f5031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ZTN2ZK5Q2N6R-32785368-346189</_dlc_DocId>
    <_dlc_DocIdUrl xmlns="9ecf9374-0d71-4a51-a9c5-198dd68970ed">
      <Url>https://csucloudservices.sharepoint.com/teams/quality/medicine/_layouts/15/DocIdRedir.aspx?ID=ZTN2ZK5Q2N6R-32785368-346189</Url>
      <Description>ZTN2ZK5Q2N6R-32785368-346189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856518B-600F-485A-B34B-D160B5A48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D8419-B9D0-4428-AFE7-A493662ED5E6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8f04dcd-1aad-4718-b4ef-cb5a94bb72b3"/>
    <ds:schemaRef ds:uri="9ecf9374-0d71-4a51-a9c5-198dd68970ed"/>
  </ds:schemaRefs>
</ds:datastoreItem>
</file>

<file path=customXml/itemProps3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(MLCSU)</cp:lastModifiedBy>
  <cp:revision>3</cp:revision>
  <dcterms:created xsi:type="dcterms:W3CDTF">2024-01-11T12:40:00Z</dcterms:created>
  <dcterms:modified xsi:type="dcterms:W3CDTF">2024-01-11T12:40:00Z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3ce36d8b-d770-4045-909a-17828e10d043</vt:lpwstr>
  </property>
  <property fmtid="{D5CDD505-2E9C-101B-9397-08002B2CF9AE}" pid="4" name="MediaServiceImageTags">
    <vt:lpwstr/>
  </property>
</Properties>
</file>